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Follow-up schedule for expert firms</w:t>
      </w:r>
    </w:p>
    <w:p>
      <w:r>
        <w:rPr>
          <w:b w:val="0"/>
        </w:rPr>
        <w:t>Most expert firms don't lose work because they follow up too little. They lose it because enquiries wait in an inbox, because the next step after a proposal was never agreed, and because when a client goes quiet the only move left is a reminder that sounds like chasing. This schedule fixes all three with one principle: agree the next step before you need it, and make every later touch worth opening.</w:t>
      </w:r>
    </w:p>
    <w:p>
      <w:r>
        <w:rPr>
          <w:b w:val="0"/>
        </w:rPr>
        <w:t>It has ten steps across three moments (the enquiry, the first call and the proposal) and a nurture step for work that does not close. The timings are defaults: change them to suit your firm.</w:t>
      </w:r>
    </w:p>
    <w:p>
      <w:pPr>
        <w:pStyle w:val="Heading2"/>
      </w:pPr>
      <w:r>
        <w:t>The schedule</w:t>
      </w:r>
    </w:p>
    <w:p>
      <w:r>
        <w:rPr>
          <w:b w:val="0"/>
        </w:rPr>
        <w:t>Working days follow your own working week, in your own time zone.</w:t>
      </w:r>
    </w:p>
    <w:tbl>
      <w:tblPr>
        <w:tblStyle w:val="TableGrid"/>
        <w:tblW w:type="auto" w:w="0"/>
        <w:tblLook w:firstColumn="1" w:firstRow="1" w:lastColumn="0" w:lastRow="0" w:noHBand="0" w:noVBand="1" w:val="04A0"/>
      </w:tblPr>
      <w:tblGrid>
        <w:gridCol w:w="1440"/>
        <w:gridCol w:w="1440"/>
        <w:gridCol w:w="1440"/>
        <w:gridCol w:w="1440"/>
        <w:gridCol w:w="1440"/>
        <w:gridCol w:w="1440"/>
      </w:tblGrid>
      <w:tr>
        <w:trPr>
          <w:tblHeader w:val="true"/>
        </w:trPr>
        <w:tc>
          <w:tcPr>
            <w:tcW w:type="dxa" w:w="1440"/>
          </w:tcPr>
          <w:p>
            <w:r/>
            <w:r>
              <w:rPr>
                <w:b/>
              </w:rPr>
              <w:t>Step</w:t>
            </w:r>
          </w:p>
        </w:tc>
        <w:tc>
          <w:tcPr>
            <w:tcW w:type="dxa" w:w="1440"/>
          </w:tcPr>
          <w:p>
            <w:r/>
            <w:r>
              <w:rPr>
                <w:b/>
              </w:rPr>
              <w:t>Moment</w:t>
            </w:r>
          </w:p>
        </w:tc>
        <w:tc>
          <w:tcPr>
            <w:tcW w:type="dxa" w:w="1440"/>
          </w:tcPr>
          <w:p>
            <w:r/>
            <w:r>
              <w:rPr>
                <w:b/>
              </w:rPr>
              <w:t>When</w:t>
            </w:r>
          </w:p>
        </w:tc>
        <w:tc>
          <w:tcPr>
            <w:tcW w:type="dxa" w:w="1440"/>
          </w:tcPr>
          <w:p>
            <w:r/>
            <w:r>
              <w:rPr>
                <w:b/>
              </w:rPr>
              <w:t>Purpose</w:t>
            </w:r>
          </w:p>
        </w:tc>
        <w:tc>
          <w:tcPr>
            <w:tcW w:type="dxa" w:w="1440"/>
          </w:tcPr>
          <w:p>
            <w:r/>
            <w:r>
              <w:rPr>
                <w:b/>
              </w:rPr>
              <w:t>What it must contain</w:t>
            </w:r>
          </w:p>
        </w:tc>
        <w:tc>
          <w:tcPr>
            <w:tcW w:type="dxa" w:w="1440"/>
          </w:tcPr>
          <w:p>
            <w:r/>
            <w:r>
              <w:rPr>
                <w:b/>
              </w:rPr>
              <w:t>Ends when</w:t>
            </w:r>
          </w:p>
        </w:tc>
      </w:tr>
      <w:tr>
        <w:tc>
          <w:tcPr>
            <w:tcW w:type="dxa" w:w="1440"/>
          </w:tcPr>
          <w:p>
            <w:r>
              <w:t>E1</w:t>
            </w:r>
          </w:p>
        </w:tc>
        <w:tc>
          <w:tcPr>
            <w:tcW w:type="dxa" w:w="1440"/>
          </w:tcPr>
          <w:p>
            <w:r>
              <w:t>Enquiry received</w:t>
            </w:r>
          </w:p>
        </w:tc>
        <w:tc>
          <w:tcPr>
            <w:tcW w:type="dxa" w:w="1440"/>
          </w:tcPr>
          <w:p>
            <w:r>
              <w:t>The same working day if it arrives before 15:00; otherwise by 11:00 the next working day. Aim for within four working hours</w:t>
            </w:r>
          </w:p>
        </w:tc>
        <w:tc>
          <w:tcPr>
            <w:tcW w:type="dxa" w:w="1440"/>
          </w:tcPr>
          <w:p>
            <w:r>
              <w:t>Show the enquiry was read by a person who understood it</w:t>
            </w:r>
          </w:p>
        </w:tc>
        <w:tc>
          <w:tcPr>
            <w:tcW w:type="dxa" w:w="1440"/>
          </w:tcPr>
          <w:p>
            <w:r>
              <w:t>One sentence that restates what they asked, in their words; an answer to any direct question; one proposed next step with two times, or one question that decides whether a call is worthwhile</w:t>
            </w:r>
          </w:p>
        </w:tc>
        <w:tc>
          <w:tcPr>
            <w:tcW w:type="dxa" w:w="1440"/>
          </w:tcPr>
          <w:p>
            <w:r>
              <w:t>They reply, or E2</w:t>
            </w:r>
          </w:p>
        </w:tc>
      </w:tr>
      <w:tr>
        <w:tc>
          <w:tcPr>
            <w:tcW w:type="dxa" w:w="1440"/>
          </w:tcPr>
          <w:p>
            <w:r>
              <w:t>E2</w:t>
            </w:r>
          </w:p>
        </w:tc>
        <w:tc>
          <w:tcPr>
            <w:tcW w:type="dxa" w:w="1440"/>
          </w:tcPr>
          <w:p>
            <w:r>
              <w:t>No reply to E1</w:t>
            </w:r>
          </w:p>
        </w:tc>
        <w:tc>
          <w:tcPr>
            <w:tcW w:type="dxa" w:w="1440"/>
          </w:tcPr>
          <w:p>
            <w:r>
              <w:t>3 working days after E1</w:t>
            </w:r>
          </w:p>
        </w:tc>
        <w:tc>
          <w:tcPr>
            <w:tcW w:type="dxa" w:w="1440"/>
          </w:tcPr>
          <w:p>
            <w:r>
              <w:t>Give them something useful whether or not they reply</w:t>
            </w:r>
          </w:p>
        </w:tc>
        <w:tc>
          <w:tcPr>
            <w:tcW w:type="dxa" w:w="1440"/>
          </w:tcPr>
          <w:p>
            <w:r>
              <w:t>One relevant resource, example or answer tied to their enquiry; the same next step offered once more</w:t>
            </w:r>
          </w:p>
        </w:tc>
        <w:tc>
          <w:tcPr>
            <w:tcW w:type="dxa" w:w="1440"/>
          </w:tcPr>
          <w:p>
            <w:r>
              <w:t>They reply, or E3</w:t>
            </w:r>
          </w:p>
        </w:tc>
      </w:tr>
      <w:tr>
        <w:tc>
          <w:tcPr>
            <w:tcW w:type="dxa" w:w="1440"/>
          </w:tcPr>
          <w:p>
            <w:r>
              <w:t>E3</w:t>
            </w:r>
          </w:p>
        </w:tc>
        <w:tc>
          <w:tcPr>
            <w:tcW w:type="dxa" w:w="1440"/>
          </w:tcPr>
          <w:p>
            <w:r>
              <w:t>Still no reply</w:t>
            </w:r>
          </w:p>
        </w:tc>
        <w:tc>
          <w:tcPr>
            <w:tcW w:type="dxa" w:w="1440"/>
          </w:tcPr>
          <w:p>
            <w:r>
              <w:t>10 working days after E1</w:t>
            </w:r>
          </w:p>
        </w:tc>
        <w:tc>
          <w:tcPr>
            <w:tcW w:type="dxa" w:w="1440"/>
          </w:tcPr>
          <w:p>
            <w:r>
              <w:t>Close politely and leave the door open</w:t>
            </w:r>
          </w:p>
        </w:tc>
        <w:tc>
          <w:tcPr>
            <w:tcW w:type="dxa" w:w="1440"/>
          </w:tcPr>
          <w:p>
            <w:r>
              <w:t>That you will not write again on this unless they do; how to reach you</w:t>
            </w:r>
          </w:p>
        </w:tc>
        <w:tc>
          <w:tcPr>
            <w:tcW w:type="dxa" w:w="1440"/>
          </w:tcPr>
          <w:p>
            <w:r>
              <w:t>The enquiry is closed</w:t>
            </w:r>
          </w:p>
        </w:tc>
      </w:tr>
      <w:tr>
        <w:tc>
          <w:tcPr>
            <w:tcW w:type="dxa" w:w="1440"/>
          </w:tcPr>
          <w:p>
            <w:r>
              <w:t>C1</w:t>
            </w:r>
          </w:p>
        </w:tc>
        <w:tc>
          <w:tcPr>
            <w:tcW w:type="dxa" w:w="1440"/>
          </w:tcPr>
          <w:p>
            <w:r>
              <w:t>After the qualifying or scoping call</w:t>
            </w:r>
          </w:p>
        </w:tc>
        <w:tc>
          <w:tcPr>
            <w:tcW w:type="dxa" w:w="1440"/>
          </w:tcPr>
          <w:p>
            <w:r>
              <w:t>Within 1 working day of the call</w:t>
            </w:r>
          </w:p>
        </w:tc>
        <w:tc>
          <w:tcPr>
            <w:tcW w:type="dxa" w:w="1440"/>
          </w:tcPr>
          <w:p>
            <w:r>
              <w:t>Confirm what was agreed, in writing, before anyone forgets</w:t>
            </w:r>
          </w:p>
        </w:tc>
        <w:tc>
          <w:tcPr>
            <w:tcW w:type="dxa" w:w="1440"/>
          </w:tcPr>
          <w:p>
            <w:r>
              <w:t>What you heard (their problem, outcome, measure of success, constraints, who decides); what you agreed; the date the proposal will arrive; the walkthrough time if one was agreed</w:t>
            </w:r>
          </w:p>
        </w:tc>
        <w:tc>
          <w:tcPr>
            <w:tcW w:type="dxa" w:w="1440"/>
          </w:tcPr>
          <w:p>
            <w:r>
              <w:t>The proposal is sent (P0)</w:t>
            </w:r>
          </w:p>
        </w:tc>
      </w:tr>
      <w:tr>
        <w:tc>
          <w:tcPr>
            <w:tcW w:type="dxa" w:w="1440"/>
          </w:tcPr>
          <w:p>
            <w:r>
              <w:t>P0</w:t>
            </w:r>
          </w:p>
        </w:tc>
        <w:tc>
          <w:tcPr>
            <w:tcW w:type="dxa" w:w="1440"/>
          </w:tcPr>
          <w:p>
            <w:r>
              <w:t>Proposal sent</w:t>
            </w:r>
          </w:p>
        </w:tc>
        <w:tc>
          <w:tcPr>
            <w:tcW w:type="dxa" w:w="1440"/>
          </w:tcPr>
          <w:p>
            <w:r>
              <w:t>On the send date you agreed</w:t>
            </w:r>
          </w:p>
        </w:tc>
        <w:tc>
          <w:tcPr>
            <w:tcW w:type="dxa" w:w="1440"/>
          </w:tcPr>
          <w:p>
            <w:r>
              <w:t>Send what was agreed, on the day promised</w:t>
            </w:r>
          </w:p>
        </w:tc>
        <w:tc>
          <w:tcPr>
            <w:tcW w:type="dxa" w:w="1440"/>
          </w:tcPr>
          <w:p>
            <w:r>
              <w:t>A three-line covering note; the agreed next step restated with its date and time</w:t>
            </w:r>
          </w:p>
        </w:tc>
        <w:tc>
          <w:tcPr>
            <w:tcW w:type="dxa" w:w="1440"/>
          </w:tcPr>
          <w:p>
            <w:r>
              <w:t>P1</w:t>
            </w:r>
          </w:p>
        </w:tc>
      </w:tr>
      <w:tr>
        <w:tc>
          <w:tcPr>
            <w:tcW w:type="dxa" w:w="1440"/>
          </w:tcPr>
          <w:p>
            <w:r>
              <w:t>P1</w:t>
            </w:r>
          </w:p>
        </w:tc>
        <w:tc>
          <w:tcPr>
            <w:tcW w:type="dxa" w:w="1440"/>
          </w:tcPr>
          <w:p>
            <w:r>
              <w:t>Walkthrough</w:t>
            </w:r>
          </w:p>
        </w:tc>
        <w:tc>
          <w:tcPr>
            <w:tcW w:type="dxa" w:w="1440"/>
          </w:tcPr>
          <w:p>
            <w:r>
              <w:t>The walkthrough agreed on the call, ideally 2 to 3 working days after P0. If none was agreed: a note 2 working days after P0 offering a 20-minute walkthrough</w:t>
            </w:r>
          </w:p>
        </w:tc>
        <w:tc>
          <w:tcPr>
            <w:tcW w:type="dxa" w:w="1440"/>
          </w:tcPr>
          <w:p>
            <w:r>
              <w:t>Go through the proposal together, so questions are answered and others who decide can join</w:t>
            </w:r>
          </w:p>
        </w:tc>
        <w:tc>
          <w:tcPr>
            <w:tcW w:type="dxa" w:w="1440"/>
          </w:tcPr>
          <w:p>
            <w:r>
              <w:t>If a note: one specific question about the proposal (scope, timing or option), and two times; an invitation to bring anyone else who will decide</w:t>
            </w:r>
          </w:p>
        </w:tc>
        <w:tc>
          <w:tcPr>
            <w:tcW w:type="dxa" w:w="1440"/>
          </w:tcPr>
          <w:p>
            <w:r>
              <w:t>A decision, or P2</w:t>
            </w:r>
          </w:p>
        </w:tc>
      </w:tr>
      <w:tr>
        <w:tc>
          <w:tcPr>
            <w:tcW w:type="dxa" w:w="1440"/>
          </w:tcPr>
          <w:p>
            <w:r>
              <w:t>P2</w:t>
            </w:r>
          </w:p>
        </w:tc>
        <w:tc>
          <w:tcPr>
            <w:tcW w:type="dxa" w:w="1440"/>
          </w:tcPr>
          <w:p>
            <w:r>
              <w:t>Value-add</w:t>
            </w:r>
          </w:p>
        </w:tc>
        <w:tc>
          <w:tcPr>
            <w:tcW w:type="dxa" w:w="1440"/>
          </w:tcPr>
          <w:p>
            <w:r>
              <w:t>7 calendar days after P0</w:t>
            </w:r>
          </w:p>
        </w:tc>
        <w:tc>
          <w:tcPr>
            <w:tcW w:type="dxa" w:w="1440"/>
          </w:tcPr>
          <w:p>
            <w:r>
              <w:t>Help them decide, without asking for a decision</w:t>
            </w:r>
          </w:p>
        </w:tc>
        <w:tc>
          <w:tcPr>
            <w:tcW w:type="dxa" w:w="1440"/>
          </w:tcPr>
          <w:p>
            <w:r>
              <w:t>One thing that helps: an answer to a question raised in the walkthrough, a short relevant case note, or a clarification of an option. No request</w:t>
            </w:r>
          </w:p>
        </w:tc>
        <w:tc>
          <w:tcPr>
            <w:tcW w:type="dxa" w:w="1440"/>
          </w:tcPr>
          <w:p>
            <w:r>
              <w:t>A decision, or P3</w:t>
            </w:r>
          </w:p>
        </w:tc>
      </w:tr>
      <w:tr>
        <w:tc>
          <w:tcPr>
            <w:tcW w:type="dxa" w:w="1440"/>
          </w:tcPr>
          <w:p>
            <w:r>
              <w:t>P3</w:t>
            </w:r>
          </w:p>
        </w:tc>
        <w:tc>
          <w:tcPr>
            <w:tcW w:type="dxa" w:w="1440"/>
          </w:tcPr>
          <w:p>
            <w:r>
              <w:t>Decision check</w:t>
            </w:r>
          </w:p>
        </w:tc>
        <w:tc>
          <w:tcPr>
            <w:tcW w:type="dxa" w:w="1440"/>
          </w:tcPr>
          <w:p>
            <w:r>
              <w:t>14 calendar days after P0, or 2 working days after the client's stated decision date if they gave one</w:t>
            </w:r>
          </w:p>
        </w:tc>
        <w:tc>
          <w:tcPr>
            <w:tcW w:type="dxa" w:w="1440"/>
          </w:tcPr>
          <w:p>
            <w:r>
              <w:t>Learn where the decision stands and what would help</w:t>
            </w:r>
          </w:p>
        </w:tc>
        <w:tc>
          <w:tcPr>
            <w:tcW w:type="dxa" w:w="1440"/>
          </w:tcPr>
          <w:p>
            <w:r>
              <w:t>One question about their process or timing; an offer to adjust scope or timing if that is the obstacle; a clean option to say no</w:t>
            </w:r>
          </w:p>
        </w:tc>
        <w:tc>
          <w:tcPr>
            <w:tcW w:type="dxa" w:w="1440"/>
          </w:tcPr>
          <w:p>
            <w:r>
              <w:t>A decision, or P4</w:t>
            </w:r>
          </w:p>
        </w:tc>
      </w:tr>
      <w:tr>
        <w:tc>
          <w:tcPr>
            <w:tcW w:type="dxa" w:w="1440"/>
          </w:tcPr>
          <w:p>
            <w:r>
              <w:t>P4</w:t>
            </w:r>
          </w:p>
        </w:tc>
        <w:tc>
          <w:tcPr>
            <w:tcW w:type="dxa" w:w="1440"/>
          </w:tcPr>
          <w:p>
            <w:r>
              <w:t>Close-out</w:t>
            </w:r>
          </w:p>
        </w:tc>
        <w:tc>
          <w:tcPr>
            <w:tcW w:type="dxa" w:w="1440"/>
          </w:tcPr>
          <w:p>
            <w:r>
              <w:t>30 calendar days after P0, or 5 working days after the stated decision date if later</w:t>
            </w:r>
          </w:p>
        </w:tc>
        <w:tc>
          <w:tcPr>
            <w:tcW w:type="dxa" w:w="1440"/>
          </w:tcPr>
          <w:p>
            <w:r>
              <w:t>Close the file without pressure</w:t>
            </w:r>
          </w:p>
        </w:tc>
        <w:tc>
          <w:tcPr>
            <w:tcW w:type="dxa" w:w="1440"/>
          </w:tcPr>
          <w:p>
            <w:r>
              <w:t>That you will assume the timing is not right and close it on your side; that the proposal stands until its validity date; how to reopen</w:t>
            </w:r>
          </w:p>
        </w:tc>
        <w:tc>
          <w:tcPr>
            <w:tcW w:type="dxa" w:w="1440"/>
          </w:tcPr>
          <w:p>
            <w:r>
              <w:t>The opportunity is closed as no decision or lost</w:t>
            </w:r>
          </w:p>
        </w:tc>
      </w:tr>
      <w:tr>
        <w:tc>
          <w:tcPr>
            <w:tcW w:type="dxa" w:w="1440"/>
          </w:tcPr>
          <w:p>
            <w:r>
              <w:t>N</w:t>
            </w:r>
          </w:p>
        </w:tc>
        <w:tc>
          <w:tcPr>
            <w:tcW w:type="dxa" w:w="1440"/>
          </w:tcPr>
          <w:p>
            <w:r>
              <w:t>Nurture</w:t>
            </w:r>
          </w:p>
        </w:tc>
        <w:tc>
          <w:tcPr>
            <w:tcW w:type="dxa" w:w="1440"/>
          </w:tcPr>
          <w:p>
            <w:r>
              <w:t>Every 90 days after close, up to four times</w:t>
            </w:r>
          </w:p>
        </w:tc>
        <w:tc>
          <w:tcPr>
            <w:tcW w:type="dxa" w:w="1440"/>
          </w:tcPr>
          <w:p>
            <w:r>
              <w:t>Stay useful to people who may buy later</w:t>
            </w:r>
          </w:p>
        </w:tc>
        <w:tc>
          <w:tcPr>
            <w:tcW w:type="dxa" w:w="1440"/>
          </w:tcPr>
          <w:p>
            <w:r>
              <w:t>Something specific to them: a relevant article, an introduction, a short observation. No pitch</w:t>
            </w:r>
          </w:p>
        </w:tc>
        <w:tc>
          <w:tcPr>
            <w:tcW w:type="dxa" w:w="1440"/>
          </w:tcPr>
          <w:p>
            <w:r>
              <w:t>They get in touch again, or four touches are sent</w:t>
            </w:r>
          </w:p>
        </w:tc>
      </w:tr>
    </w:tbl>
    <w:p/>
    <w:p>
      <w:r>
        <w:rPr>
          <w:b w:val="0"/>
        </w:rPr>
        <w:t>When the client replies at any point, cancel the remaining steps and carry on the conversation by hand. When the client gives a decision date, move P3 and P4 to it. You can shorten any interval. Don't add a touch between P0 and P4.</w:t>
      </w:r>
    </w:p>
    <w:p>
      <w:pPr>
        <w:pStyle w:val="Heading2"/>
      </w:pPr>
      <w:r>
        <w:t>Language rules</w:t>
      </w:r>
    </w:p>
    <w:p>
      <w:r>
        <w:rPr>
          <w:b/>
        </w:rPr>
        <w:t>Each touch must:</w:t>
      </w:r>
      <w:r>
        <w:rPr>
          <w:b w:val="0"/>
        </w:rPr>
        <w:t xml:space="preserve"> name a specific thing from their situation; give them something or ask one clear question; carry one next step with a date or two times; be short enough to read on a phone, about 120 words or fewer, except the call summary.</w:t>
      </w:r>
    </w:p>
    <w:p>
      <w:r>
        <w:rPr>
          <w:b/>
        </w:rPr>
        <w:t>No touch may use</w:t>
      </w:r>
      <w:r>
        <w:rPr>
          <w:b w:val="0"/>
        </w:rPr>
        <w:t xml:space="preserve"> these phrases, or close variants of them:</w:t>
      </w:r>
    </w:p>
    <w:p>
      <w:pPr>
        <w:pStyle w:val="ListBullet"/>
      </w:pPr>
      <w:r>
        <w:rPr>
          <w:b w:val="0"/>
        </w:rPr>
        <w:t>just checking in</w:t>
      </w:r>
    </w:p>
    <w:p>
      <w:pPr>
        <w:pStyle w:val="ListBullet"/>
      </w:pPr>
      <w:r>
        <w:rPr>
          <w:b w:val="0"/>
        </w:rPr>
        <w:t>just following up</w:t>
      </w:r>
    </w:p>
    <w:p>
      <w:pPr>
        <w:pStyle w:val="ListBullet"/>
      </w:pPr>
      <w:r>
        <w:rPr>
          <w:b w:val="0"/>
        </w:rPr>
        <w:t>following up on my last email</w:t>
      </w:r>
    </w:p>
    <w:p>
      <w:pPr>
        <w:pStyle w:val="ListBullet"/>
      </w:pPr>
      <w:r>
        <w:rPr>
          <w:b w:val="0"/>
        </w:rPr>
        <w:t>circling back</w:t>
      </w:r>
    </w:p>
    <w:p>
      <w:pPr>
        <w:pStyle w:val="ListBullet"/>
      </w:pPr>
      <w:r>
        <w:rPr>
          <w:b w:val="0"/>
        </w:rPr>
        <w:t>touching base</w:t>
      </w:r>
    </w:p>
    <w:p>
      <w:pPr>
        <w:pStyle w:val="ListBullet"/>
      </w:pPr>
      <w:r>
        <w:rPr>
          <w:b w:val="0"/>
        </w:rPr>
        <w:t>bumping this</w:t>
      </w:r>
    </w:p>
    <w:p>
      <w:pPr>
        <w:pStyle w:val="ListBullet"/>
      </w:pPr>
      <w:r>
        <w:rPr>
          <w:b w:val="0"/>
        </w:rPr>
        <w:t>any update?</w:t>
      </w:r>
    </w:p>
    <w:p>
      <w:pPr>
        <w:pStyle w:val="ListBullet"/>
      </w:pPr>
      <w:r>
        <w:rPr>
          <w:b w:val="0"/>
        </w:rPr>
        <w:t>did you get a chance to</w:t>
      </w:r>
    </w:p>
    <w:p>
      <w:pPr>
        <w:pStyle w:val="ListBullet"/>
      </w:pPr>
      <w:r>
        <w:rPr>
          <w:b w:val="0"/>
        </w:rPr>
        <w:t>I haven't heard back</w:t>
      </w:r>
    </w:p>
    <w:p>
      <w:pPr>
        <w:pStyle w:val="ListBullet"/>
      </w:pPr>
      <w:r>
        <w:rPr>
          <w:b w:val="0"/>
        </w:rPr>
        <w:t>as per my previous email</w:t>
      </w:r>
    </w:p>
    <w:p>
      <w:pPr>
        <w:pStyle w:val="ListBullet"/>
      </w:pPr>
      <w:r>
        <w:rPr>
          <w:b w:val="0"/>
        </w:rPr>
        <w:t>per my last note</w:t>
      </w:r>
    </w:p>
    <w:p>
      <w:pPr>
        <w:pStyle w:val="ListBullet"/>
      </w:pPr>
      <w:r>
        <w:rPr>
          <w:b w:val="0"/>
        </w:rPr>
        <w:t>hope you're well, just wanted to</w:t>
      </w:r>
    </w:p>
    <w:p>
      <w:pPr>
        <w:pStyle w:val="ListBullet"/>
      </w:pPr>
      <w:r>
        <w:rPr>
          <w:b w:val="0"/>
        </w:rPr>
        <w:t>friendly reminder</w:t>
      </w:r>
    </w:p>
    <w:p>
      <w:pPr>
        <w:pStyle w:val="ListBullet"/>
      </w:pPr>
      <w:r>
        <w:rPr>
          <w:b w:val="0"/>
        </w:rPr>
        <w:t>gentle nudge</w:t>
      </w:r>
    </w:p>
    <w:p>
      <w:pPr>
        <w:pStyle w:val="ListBullet"/>
      </w:pPr>
      <w:r>
        <w:rPr>
          <w:b w:val="0"/>
        </w:rPr>
        <w:t>last chance</w:t>
      </w:r>
    </w:p>
    <w:p>
      <w:pPr>
        <w:pStyle w:val="ListBullet"/>
      </w:pPr>
      <w:r>
        <w:rPr>
          <w:b w:val="0"/>
        </w:rPr>
        <w:t>limited time</w:t>
      </w:r>
    </w:p>
    <w:p>
      <w:pPr>
        <w:pStyle w:val="ListBullet"/>
      </w:pPr>
      <w:r>
        <w:rPr>
          <w:b w:val="0"/>
        </w:rPr>
        <w:t>before prices go up</w:t>
      </w:r>
    </w:p>
    <w:p>
      <w:r>
        <w:rPr>
          <w:b/>
        </w:rPr>
        <w:t>No touch may:</w:t>
      </w:r>
      <w:r>
        <w:rPr>
          <w:b w:val="0"/>
        </w:rPr>
        <w:t xml:space="preserve"> invent a deadline or a discount; claim a result, a client or a figure you can't back up; mention your other clients without their permission; or apologise for following up.</w:t>
      </w:r>
    </w:p>
    <w:p>
      <w:pPr>
        <w:pStyle w:val="Heading2"/>
      </w:pPr>
      <w:r>
        <w:t>Worked examples</w:t>
      </w:r>
    </w:p>
    <w:p>
      <w:r>
        <w:rPr>
          <w:b w:val="0"/>
        </w:rPr>
        <w:t>Illustrative example: the firm, the client, the people and the details are invented. Larchmere Advisory, a 14-person operations advisory and training firm, follows up an enquiry from Dana Okafor at Fernhill Logistics.</w:t>
      </w:r>
    </w:p>
    <w:p>
      <w:pPr>
        <w:pStyle w:val="Heading3"/>
      </w:pPr>
      <w:r>
        <w:t>E1, first response</w:t>
      </w:r>
    </w:p>
    <w:p>
      <w:pPr>
        <w:pStyle w:val="Quote"/>
      </w:pPr>
      <w:r>
        <w:rPr>
          <w:b w:val="0"/>
        </w:rPr>
        <w:t>Dana, thank you for getting in touch about training your warehouse supervisors to run shift handovers. You mentioned new supervisors are struggling most in their first three months. Before suggesting anything, a 25-minute call would let me understand how handovers work today. Would Tuesday at 10:00 or Wednesday at 14:00 suit you?</w:t>
      </w:r>
    </w:p>
    <w:p>
      <w:pPr>
        <w:pStyle w:val="Heading3"/>
      </w:pPr>
      <w:r>
        <w:t>P2, value-add at day 7</w:t>
      </w:r>
    </w:p>
    <w:p>
      <w:pPr>
        <w:pStyle w:val="Quote"/>
      </w:pPr>
      <w:r>
        <w:rPr>
          <w:b w:val="0"/>
        </w:rPr>
        <w:t>Dana, in Thursday's walkthrough your operations director asked how we would measure whether handovers improve. I have attached the one-page measure we used with a distribution firm of a similar size, with their name removed: three questions supervisors answer at the end of each shift for four weeks. It would slot into option B without changing the fee. Nothing needed from you; I thought it would help with the conversation you mentioned having on the 20th.</w:t>
      </w:r>
    </w:p>
    <w:p>
      <w:pPr>
        <w:pStyle w:val="Heading3"/>
      </w:pPr>
      <w:r>
        <w:t>P4, close-out</w:t>
      </w:r>
    </w:p>
    <w:p>
      <w:pPr>
        <w:pStyle w:val="Quote"/>
      </w:pPr>
      <w:r>
        <w:rPr>
          <w:b w:val="0"/>
        </w:rPr>
        <w:t>Dana, as I have not heard from you since the 20th, I will assume the timing is not right and close this on our side. The proposal stands until 31 January if things change. If it would help to revisit the scope or the start date, reply to this note and I will pick it up.</w:t>
      </w:r>
    </w:p>
    <w:p>
      <w:pPr>
        <w:pStyle w:val="Heading2"/>
      </w:pPr>
      <w:r>
        <w:t>What the evidence does and does not say</w:t>
      </w:r>
    </w:p>
    <w:p>
      <w:r>
        <w:rPr>
          <w:b w:val="0"/>
        </w:rPr>
        <w:t>The schedule uses the evidence as ceilings and floors, not as a formula. None of it is a measured result for expert firms, because no such measurement was found.</w:t>
      </w:r>
    </w:p>
    <w:tbl>
      <w:tblPr>
        <w:tblStyle w:val="TableGrid"/>
        <w:tblW w:type="auto" w:w="0"/>
        <w:tblLook w:firstColumn="1" w:firstRow="1" w:lastColumn="0" w:lastRow="0" w:noHBand="0" w:noVBand="1" w:val="04A0"/>
      </w:tblPr>
      <w:tblGrid>
        <w:gridCol w:w="2880"/>
        <w:gridCol w:w="2880"/>
        <w:gridCol w:w="2880"/>
      </w:tblGrid>
      <w:tr>
        <w:trPr>
          <w:tblHeader w:val="true"/>
        </w:trPr>
        <w:tc>
          <w:tcPr>
            <w:tcW w:type="dxa" w:w="2880"/>
          </w:tcPr>
          <w:p>
            <w:r/>
            <w:r>
              <w:rPr>
                <w:b/>
              </w:rPr>
              <w:t>Choice</w:t>
            </w:r>
          </w:p>
        </w:tc>
        <w:tc>
          <w:tcPr>
            <w:tcW w:type="dxa" w:w="2880"/>
          </w:tcPr>
          <w:p>
            <w:r/>
            <w:r>
              <w:rPr>
                <w:b/>
              </w:rPr>
              <w:t>Evidence</w:t>
            </w:r>
          </w:p>
        </w:tc>
        <w:tc>
          <w:tcPr>
            <w:tcW w:type="dxa" w:w="2880"/>
          </w:tcPr>
          <w:p>
            <w:r/>
            <w:r>
              <w:rPr>
                <w:b/>
              </w:rPr>
              <w:t>Its limits</w:t>
            </w:r>
          </w:p>
        </w:tc>
      </w:tr>
      <w:tr>
        <w:tc>
          <w:tcPr>
            <w:tcW w:type="dxa" w:w="2880"/>
          </w:tcPr>
          <w:p>
            <w:r>
              <w:t>Reply within one working day; aim for a few working hours</w:t>
            </w:r>
          </w:p>
        </w:tc>
        <w:tc>
          <w:tcPr>
            <w:tcW w:type="dxa" w:w="2880"/>
          </w:tcPr>
          <w:p>
            <w:r>
              <w:t>Oldroyd, McElheran and Elkington, Harvard Business Review, March 2011: in an audit of 2,241 US firms, 37% answered a web lead within an hour and 23% never did. Chili Piper, 2022: average first response 4 hours 50 minutes, and nearly 30% never answered</w:t>
            </w:r>
          </w:p>
        </w:tc>
        <w:tc>
          <w:tcPr>
            <w:tcW w:type="dxa" w:w="2880"/>
          </w:tcPr>
          <w:p>
            <w:r>
              <w:t>Web leads, mostly consumer, and dated. Chili Piper is vendor data on software demo requests, and measured response, not winning work</w:t>
            </w:r>
          </w:p>
        </w:tc>
      </w:tr>
      <w:tr>
        <w:tc>
          <w:tcPr>
            <w:tcW w:type="dxa" w:w="2880"/>
          </w:tcPr>
          <w:p>
            <w:r>
              <w:t>Send the call summary within one working day, and the proposal within days</w:t>
            </w:r>
          </w:p>
        </w:tc>
        <w:tc>
          <w:tcPr>
            <w:tcW w:type="dxa" w:w="2880"/>
          </w:tcPr>
          <w:p>
            <w:r>
              <w:t>Better Proposals, 2020: proposals sent within 24 hours of the client conversation were 19.1% more likely to win</w:t>
            </w:r>
          </w:p>
        </w:tc>
        <w:tc>
          <w:tcPr>
            <w:tcW w:type="dxa" w:w="2880"/>
          </w:tcPr>
          <w:p>
            <w:r>
              <w:t>Vendor data, dated; correlation, not cause</w:t>
            </w:r>
          </w:p>
        </w:tc>
      </w:tr>
      <w:tr>
        <w:tc>
          <w:tcPr>
            <w:tcW w:type="dxa" w:w="2880"/>
          </w:tcPr>
          <w:p>
            <w:r>
              <w:t>Agree a walkthrough instead of sending reminders</w:t>
            </w:r>
          </w:p>
        </w:tc>
        <w:tc>
          <w:tcPr>
            <w:tcW w:type="dxa" w:w="2880"/>
          </w:tcPr>
          <w:p>
            <w:r>
              <w:t>Proposify, 2026: across 742,137 proposals sent in 2025, close rates rose about 20% when more than one stakeholder viewed</w:t>
            </w:r>
          </w:p>
        </w:tc>
        <w:tc>
          <w:tcPr>
            <w:tcW w:type="dxa" w:w="2880"/>
          </w:tcPr>
          <w:p>
            <w:r>
              <w:t>Vendor data across industries; viewed is not read; correlation, not cause</w:t>
            </w:r>
          </w:p>
        </w:tc>
      </w:tr>
      <w:tr>
        <w:tc>
          <w:tcPr>
            <w:tcW w:type="dxa" w:w="2880"/>
          </w:tcPr>
          <w:p>
            <w:r>
              <w:t>No more than four touches after a proposal</w:t>
            </w:r>
          </w:p>
        </w:tc>
        <w:tc>
          <w:tcPr>
            <w:tcW w:type="dxa" w:w="2880"/>
          </w:tcPr>
          <w:p>
            <w:r>
              <w:t>RAIN Group: top sellers reached a meeting in about 5 touches, against an average of 8</w:t>
            </w:r>
          </w:p>
        </w:tc>
        <w:tc>
          <w:tcPr>
            <w:tcW w:type="dxa" w:w="2880"/>
          </w:tcPr>
          <w:p>
            <w:r>
              <w:t>Self-reported outbound prospecting, not following up a sent proposal. Used only as a ceiling</w:t>
            </w:r>
          </w:p>
        </w:tc>
      </w:tr>
      <w:tr>
        <w:tc>
          <w:tcPr>
            <w:tcW w:type="dxa" w:w="2880"/>
          </w:tcPr>
          <w:p>
            <w:r>
              <w:t>Touches that add value, not reminders</w:t>
            </w:r>
          </w:p>
        </w:tc>
        <w:tc>
          <w:tcPr>
            <w:tcW w:type="dxa" w:w="2880"/>
          </w:tcPr>
          <w:p>
            <w:r>
              <w:t>Blair Enns, Jonathan Stark and Mo Bunnell all argue against chasing</w:t>
            </w:r>
          </w:p>
        </w:tc>
        <w:tc>
          <w:tcPr>
            <w:tcW w:type="dxa" w:w="2880"/>
          </w:tcPr>
          <w:p>
            <w:r>
              <w:t>Practitioner positions, not data</w:t>
            </w:r>
          </w:p>
        </w:tc>
      </w:tr>
    </w:tbl>
    <w:p/>
    <w:p>
      <w:r>
        <w:rPr>
          <w:b w:val="0"/>
        </w:rPr>
        <w:t>Free to use, change and share inside your own firm. Please don't sell it or publish it as your own. From InspiredWorkx, inspiredworkx.com/toolkit.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Follow-up schedule for expert firms</dc:title>
  <dc:subject>When and how to follow up an enquiry, a first call and a sent proposal</dc:subject>
  <dc:creator>InspiredWorkx</dc:creator>
  <cp:keywords/>
  <dc:description>generated by python-docx</dc:description>
  <cp:lastModifiedBy>InspiredWorkx</cp:lastModifiedBy>
  <cp:revision>1</cp:revision>
  <dcterms:created xsi:type="dcterms:W3CDTF">2026-10-22T09:00:00Z</dcterms:created>
  <dcterms:modified xsi:type="dcterms:W3CDTF">2026-10-22T09:00:00Z</dcterms:modified>
  <cp:category/>
  <dc:language>en-GB</dc:language>
  <cp:lastPrinted>2026-10-22T09:00:00Z</cp:lastPrinted>
</cp:coreProperties>
</file>